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REQUERIMENTO DE ATESTADO DE RESPONSABILIDADE TÉCNICA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Eu,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COMPLETO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cs="Arial"/>
          <w:sz w:val="24"/>
          <w:szCs w:val="24"/>
        </w:rPr>
        <w:t xml:space="preserve">inscrita 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deste, requerer a esse Conselho Regional de Nutricionistas da 7ª Região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o Atestado de Responsabilidade Técnica pela(s) Pessoa Jurídica: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en-US" w:bidi="ar-SA"/>
        </w:rPr>
        <w:t>Empresa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: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en-US" w:bidi="ar-SA"/>
        </w:rPr>
        <w:t>CNPJ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: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en-US" w:bidi="ar-SA"/>
        </w:rPr>
        <w:t>Empresa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: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en-US" w:bidi="ar-SA"/>
        </w:rPr>
        <w:t>CNPJ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: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en-US" w:bidi="ar-SA"/>
        </w:rPr>
        <w:t>Empesa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: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b/>
          <w:bCs/>
          <w:color w:val="auto"/>
          <w:kern w:val="0"/>
          <w:sz w:val="24"/>
          <w:szCs w:val="24"/>
          <w:lang w:val="pt-BR" w:eastAsia="en-US" w:bidi="ar-SA"/>
        </w:rPr>
        <w:t>CNPJ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: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 xml:space="preserve">No caso de participação em licitação, fica esta empresa ciente que sendo vencedora do certame, deverá comunicar esse resultado ao CRN-7, no prazo máximo de 30 (trinta) dias.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eastAsia="Calibri" w:cs="Arial"/>
          <w:color w:val="C9211E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NOME COMPLETO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CRN-7 N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º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1650</TotalTime>
  <Application>LibreOffice/6.3.3.2$Windows_X86_64 LibreOffice_project/a64200df03143b798afd1ec74a12ab50359878ed</Application>
  <Pages>1</Pages>
  <Words>121</Words>
  <Characters>829</Characters>
  <CharactersWithSpaces>945</CharactersWithSpaces>
  <Paragraphs>22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2020-06-12T09:57:40Z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